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D76E8C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A4683A">
        <w:rPr>
          <w:noProof w:val="0"/>
          <w:sz w:val="24"/>
          <w:szCs w:val="24"/>
        </w:rPr>
        <w:t>99</w:t>
      </w:r>
      <w:r w:rsidRPr="00B266B0">
        <w:rPr>
          <w:bCs/>
          <w:noProof w:val="0"/>
          <w:sz w:val="24"/>
          <w:szCs w:val="24"/>
        </w:rPr>
        <w:tab/>
      </w:r>
      <w:r w:rsidR="00E01528" w:rsidRPr="00E01528">
        <w:rPr>
          <w:bCs/>
          <w:noProof w:val="0"/>
          <w:sz w:val="24"/>
          <w:szCs w:val="24"/>
        </w:rPr>
        <w:t>R2-1708766</w:t>
      </w:r>
    </w:p>
    <w:p w14:paraId="231362B2" w14:textId="4308FD75" w:rsidR="00CD4C7B" w:rsidRPr="00B266B0" w:rsidRDefault="00A4683A" w:rsidP="00CD4C7B">
      <w:pPr>
        <w:pStyle w:val="Header"/>
        <w:tabs>
          <w:tab w:val="right" w:pos="9639"/>
        </w:tabs>
        <w:rPr>
          <w:bCs/>
          <w:noProof w:val="0"/>
          <w:sz w:val="24"/>
          <w:szCs w:val="24"/>
        </w:rPr>
      </w:pPr>
      <w:r>
        <w:rPr>
          <w:rFonts w:eastAsia="宋体"/>
          <w:noProof w:val="0"/>
          <w:sz w:val="24"/>
          <w:szCs w:val="24"/>
          <w:lang w:eastAsia="zh-CN"/>
        </w:rPr>
        <w:t>Berlin</w:t>
      </w:r>
      <w:r w:rsidRPr="00C24650">
        <w:rPr>
          <w:rFonts w:eastAsia="宋体"/>
          <w:noProof w:val="0"/>
          <w:sz w:val="24"/>
          <w:szCs w:val="24"/>
          <w:lang w:eastAsia="zh-CN"/>
        </w:rPr>
        <w:t xml:space="preserve">, </w:t>
      </w:r>
      <w:r>
        <w:rPr>
          <w:rFonts w:eastAsia="宋体"/>
          <w:noProof w:val="0"/>
          <w:sz w:val="24"/>
          <w:szCs w:val="24"/>
          <w:lang w:eastAsia="zh-CN"/>
        </w:rPr>
        <w:t>Germany</w:t>
      </w:r>
      <w:r w:rsidRPr="00C24650">
        <w:rPr>
          <w:rFonts w:eastAsia="宋体"/>
          <w:noProof w:val="0"/>
          <w:sz w:val="24"/>
          <w:szCs w:val="24"/>
          <w:lang w:eastAsia="zh-CN"/>
        </w:rPr>
        <w:t xml:space="preserve">, </w:t>
      </w:r>
      <w:r>
        <w:rPr>
          <w:rFonts w:eastAsia="宋体"/>
          <w:noProof w:val="0"/>
          <w:sz w:val="24"/>
          <w:szCs w:val="24"/>
          <w:lang w:eastAsia="zh-CN"/>
        </w:rPr>
        <w:t xml:space="preserve">21 - 25 August </w:t>
      </w:r>
      <w:r w:rsidR="00C24650" w:rsidRPr="00C24650">
        <w:rPr>
          <w:rFonts w:eastAsia="宋体"/>
          <w:noProof w:val="0"/>
          <w:sz w:val="24"/>
          <w:szCs w:val="24"/>
          <w:lang w:eastAsia="zh-CN"/>
        </w:rPr>
        <w:t>201</w:t>
      </w:r>
      <w:r w:rsidR="00936071">
        <w:rPr>
          <w:rFonts w:eastAsia="宋体"/>
          <w:noProof w:val="0"/>
          <w:sz w:val="24"/>
          <w:szCs w:val="24"/>
          <w:lang w:eastAsia="zh-CN"/>
        </w:rPr>
        <w:t>7</w:t>
      </w:r>
      <w:r w:rsidR="00405F53">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B2C86E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308A" w:rsidRPr="0027308A">
        <w:rPr>
          <w:rFonts w:cs="Arial"/>
          <w:b/>
          <w:bCs/>
          <w:sz w:val="24"/>
          <w:lang w:eastAsia="ja-JP"/>
        </w:rPr>
        <w:t>10.3.1.5</w:t>
      </w:r>
    </w:p>
    <w:p w14:paraId="6A1BC0C1" w14:textId="07634C2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A4683A">
        <w:rPr>
          <w:rFonts w:ascii="Arial" w:hAnsi="Arial" w:cs="Arial"/>
          <w:b/>
          <w:bCs/>
          <w:sz w:val="24"/>
        </w:rPr>
        <w:t>Nokia Shanghai Bell</w:t>
      </w:r>
    </w:p>
    <w:p w14:paraId="45BE90BE" w14:textId="24BCEB0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308A">
        <w:rPr>
          <w:rFonts w:ascii="Arial" w:hAnsi="Arial" w:cs="Arial"/>
          <w:b/>
          <w:bCs/>
          <w:sz w:val="24"/>
        </w:rPr>
        <w:t xml:space="preserve">Details </w:t>
      </w:r>
      <w:r w:rsidR="00A87BF0">
        <w:rPr>
          <w:rFonts w:ascii="Arial" w:hAnsi="Arial" w:cs="Arial"/>
          <w:b/>
          <w:bCs/>
          <w:sz w:val="24"/>
        </w:rPr>
        <w:t>on</w:t>
      </w:r>
      <w:r w:rsidR="0027308A">
        <w:rPr>
          <w:rFonts w:ascii="Arial" w:hAnsi="Arial" w:cs="Arial"/>
          <w:b/>
          <w:bCs/>
          <w:sz w:val="24"/>
        </w:rPr>
        <w:t xml:space="preserve"> multiple SR configurations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6CADE3B" w14:textId="23FC11B1" w:rsidR="00B27B9D" w:rsidRDefault="00B27B9D" w:rsidP="00CD4C7B">
      <w:r>
        <w:t xml:space="preserve">Multiple SR configurations was agreed during the RAN2 #98 </w:t>
      </w:r>
      <w:r w:rsidR="00A4683A">
        <w:t xml:space="preserve">and RAN2 NR AH#2 </w:t>
      </w:r>
      <w:r>
        <w:t>meeting</w:t>
      </w:r>
      <w:r w:rsidR="00514FB9">
        <w:t xml:space="preserve"> [1]</w:t>
      </w:r>
      <w:r w:rsidR="00A4683A">
        <w:t xml:space="preserve"> [2]</w:t>
      </w:r>
      <w:r>
        <w:t>:</w:t>
      </w:r>
    </w:p>
    <w:p w14:paraId="7F640E79" w14:textId="77777777" w:rsidR="00B27B9D" w:rsidRPr="00CC34FB" w:rsidRDefault="00B27B9D" w:rsidP="00B27B9D">
      <w:pPr>
        <w:pStyle w:val="Doc-text2"/>
        <w:pBdr>
          <w:top w:val="single" w:sz="4" w:space="1" w:color="auto"/>
          <w:left w:val="single" w:sz="4" w:space="4" w:color="auto"/>
          <w:bottom w:val="single" w:sz="4" w:space="1" w:color="auto"/>
          <w:right w:val="single" w:sz="4" w:space="4" w:color="auto"/>
        </w:pBdr>
        <w:rPr>
          <w:b/>
        </w:rPr>
      </w:pPr>
      <w:r w:rsidRPr="00CC34FB">
        <w:rPr>
          <w:b/>
        </w:rPr>
        <w:t>Agreements</w:t>
      </w:r>
    </w:p>
    <w:p w14:paraId="3C8C2714" w14:textId="77777777" w:rsidR="00B27B9D" w:rsidRPr="000231C3" w:rsidRDefault="00B27B9D" w:rsidP="00B27B9D">
      <w:pPr>
        <w:pStyle w:val="Doc-text2"/>
        <w:pBdr>
          <w:top w:val="single" w:sz="4" w:space="1" w:color="auto"/>
          <w:left w:val="single" w:sz="4" w:space="4" w:color="auto"/>
          <w:bottom w:val="single" w:sz="4" w:space="1" w:color="auto"/>
          <w:right w:val="single" w:sz="4" w:space="4" w:color="auto"/>
        </w:pBdr>
        <w:rPr>
          <w:lang w:eastAsia="zh-CN"/>
        </w:rPr>
      </w:pPr>
      <w:r>
        <w:t>1.</w:t>
      </w:r>
      <w:r w:rsidRPr="000231C3">
        <w:tab/>
      </w:r>
      <w:r w:rsidRPr="000231C3">
        <w:rPr>
          <w:lang w:eastAsia="zh-CN"/>
        </w:rPr>
        <w:t>Multiple SR configurations can be configured to the UE and which SR configuration is used depends on the LCH that triggers the SR.</w:t>
      </w:r>
      <w:r>
        <w:rPr>
          <w:lang w:eastAsia="zh-CN"/>
        </w:rPr>
        <w:t xml:space="preserve">  The granularity of SR configuration for a logical channel is FFS.</w:t>
      </w:r>
    </w:p>
    <w:p w14:paraId="67C3EC20" w14:textId="77777777" w:rsidR="00B27B9D" w:rsidRDefault="00B27B9D" w:rsidP="00B27B9D">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2. </w:t>
      </w:r>
      <w:r w:rsidRPr="00A82268">
        <w:rPr>
          <w:lang w:eastAsia="zh-CN"/>
        </w:rPr>
        <w:tab/>
        <w:t>From RAN2 point of view a single bit SR</w:t>
      </w:r>
      <w:r>
        <w:rPr>
          <w:lang w:eastAsia="zh-CN"/>
        </w:rPr>
        <w:t xml:space="preserve"> with multiple SR configuration</w:t>
      </w:r>
      <w:r w:rsidRPr="00A82268">
        <w:rPr>
          <w:lang w:eastAsia="zh-CN"/>
        </w:rPr>
        <w:t xml:space="preserve"> is sufficient to distinguish the “numerology/TTI</w:t>
      </w:r>
      <w:r>
        <w:rPr>
          <w:lang w:eastAsia="zh-CN"/>
        </w:rPr>
        <w:t xml:space="preserve"> length</w:t>
      </w:r>
      <w:r w:rsidRPr="00A82268">
        <w:rPr>
          <w:lang w:eastAsia="zh-CN"/>
        </w:rPr>
        <w:t xml:space="preserve">” of the logical channel that trigger the SR.  </w:t>
      </w:r>
      <w:r>
        <w:rPr>
          <w:lang w:eastAsia="zh-CN"/>
        </w:rPr>
        <w:t xml:space="preserve">RAN2 has not identified other use cases for which multibit SR is need with sufficient support.  </w:t>
      </w:r>
    </w:p>
    <w:p w14:paraId="62467ADD" w14:textId="77777777" w:rsidR="00B27B9D" w:rsidRDefault="00B27B9D" w:rsidP="00B27B9D">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r>
      <w:r w:rsidRPr="00A82268">
        <w:rPr>
          <w:lang w:eastAsia="zh-CN"/>
        </w:rPr>
        <w:t>RAN2</w:t>
      </w:r>
      <w:r>
        <w:rPr>
          <w:lang w:eastAsia="zh-CN"/>
        </w:rPr>
        <w:t xml:space="preserve"> does not see the </w:t>
      </w:r>
      <w:r w:rsidRPr="00A82268">
        <w:rPr>
          <w:lang w:eastAsia="zh-CN"/>
        </w:rPr>
        <w:t>need to convey buffer status information</w:t>
      </w:r>
      <w:r>
        <w:rPr>
          <w:lang w:eastAsia="zh-CN"/>
        </w:rPr>
        <w:t xml:space="preserve">.  </w:t>
      </w:r>
    </w:p>
    <w:p w14:paraId="44E45810" w14:textId="77777777" w:rsidR="00B27B9D" w:rsidRPr="00A82268" w:rsidRDefault="00B27B9D" w:rsidP="00B27B9D">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4. </w:t>
      </w:r>
      <w:r>
        <w:rPr>
          <w:lang w:eastAsia="zh-CN"/>
        </w:rPr>
        <w:tab/>
        <w:t xml:space="preserve">Send LS to RAN1 to indicate to RAN1 that RAN2 doesn’t see the need to support multi-bit SR. </w:t>
      </w:r>
    </w:p>
    <w:p w14:paraId="1CAA93E3" w14:textId="77777777" w:rsidR="00A4683A" w:rsidRDefault="00A4683A" w:rsidP="00CD4C7B"/>
    <w:p w14:paraId="6D509121" w14:textId="77777777" w:rsidR="00A4683A" w:rsidRDefault="00A4683A" w:rsidP="00A4683A">
      <w:pPr>
        <w:pStyle w:val="Doc-text2"/>
        <w:pBdr>
          <w:top w:val="single" w:sz="4" w:space="1" w:color="auto"/>
          <w:left w:val="single" w:sz="4" w:space="4" w:color="auto"/>
          <w:bottom w:val="single" w:sz="4" w:space="1" w:color="auto"/>
          <w:right w:val="single" w:sz="4" w:space="4" w:color="auto"/>
        </w:pBdr>
        <w:ind w:left="1259" w:firstLine="0"/>
      </w:pPr>
      <w:r>
        <w:t>Agreements:</w:t>
      </w:r>
    </w:p>
    <w:p w14:paraId="46DC9886" w14:textId="77777777" w:rsidR="00A4683A" w:rsidRPr="007B7872" w:rsidRDefault="00A4683A" w:rsidP="00A4683A">
      <w:pPr>
        <w:pStyle w:val="Doc-text2"/>
        <w:numPr>
          <w:ilvl w:val="0"/>
          <w:numId w:val="6"/>
        </w:numPr>
        <w:pBdr>
          <w:top w:val="single" w:sz="4" w:space="1" w:color="auto"/>
          <w:left w:val="single" w:sz="4" w:space="4" w:color="auto"/>
          <w:bottom w:val="single" w:sz="4" w:space="1" w:color="auto"/>
          <w:right w:val="single" w:sz="4" w:space="4" w:color="auto"/>
        </w:pBdr>
      </w:pPr>
      <w:r w:rsidRPr="007B7872">
        <w:t>In case multiple SRs are configured, for each LC</w:t>
      </w:r>
      <w:r>
        <w:t>H</w:t>
      </w:r>
      <w:r w:rsidRPr="007B7872">
        <w:t>, the</w:t>
      </w:r>
      <w:r>
        <w:t xml:space="preserve">re will be a mapping between LCHs and SR configuration </w:t>
      </w:r>
      <w:r w:rsidRPr="007B7872">
        <w:t>and the mapping should be configured by RRC signalling</w:t>
      </w:r>
      <w:r>
        <w:t xml:space="preserve">.  FFS if grouping is needed.  </w:t>
      </w:r>
    </w:p>
    <w:p w14:paraId="17D41823" w14:textId="77777777" w:rsidR="00A4683A" w:rsidRDefault="00A4683A" w:rsidP="00A4683A">
      <w:pPr>
        <w:pStyle w:val="Doc-text2"/>
        <w:numPr>
          <w:ilvl w:val="0"/>
          <w:numId w:val="6"/>
        </w:numPr>
        <w:pBdr>
          <w:top w:val="single" w:sz="4" w:space="1" w:color="auto"/>
          <w:left w:val="single" w:sz="4" w:space="4" w:color="auto"/>
          <w:bottom w:val="single" w:sz="4" w:space="1" w:color="auto"/>
          <w:right w:val="single" w:sz="4" w:space="4" w:color="auto"/>
        </w:pBdr>
      </w:pPr>
      <w:r>
        <w:t xml:space="preserve">A logical channel can be mapped to none or one SR configuration.  FFS if a logical channel can be mapped to more than one SR configuration.  </w:t>
      </w:r>
    </w:p>
    <w:p w14:paraId="00BDF2A0" w14:textId="77777777" w:rsidR="00A4683A" w:rsidRDefault="00A4683A" w:rsidP="00CD4C7B"/>
    <w:p w14:paraId="656ABE2D" w14:textId="3B427CE3" w:rsidR="00A1647B" w:rsidRDefault="00A1647B" w:rsidP="00CD4C7B">
      <w:r>
        <w:t>Besides, for LCP, it was agreed:</w:t>
      </w:r>
    </w:p>
    <w:p w14:paraId="7A52F814" w14:textId="77777777" w:rsidR="00A1647B" w:rsidRPr="002E4D34" w:rsidRDefault="00A1647B" w:rsidP="00A1647B">
      <w:pPr>
        <w:pStyle w:val="Doc-text2"/>
        <w:pBdr>
          <w:top w:val="single" w:sz="4" w:space="1" w:color="auto"/>
          <w:left w:val="single" w:sz="4" w:space="4" w:color="auto"/>
          <w:bottom w:val="single" w:sz="4" w:space="1" w:color="auto"/>
          <w:right w:val="single" w:sz="4" w:space="4" w:color="auto"/>
        </w:pBdr>
      </w:pPr>
      <w:r>
        <w:t>Agreements</w:t>
      </w:r>
    </w:p>
    <w:p w14:paraId="5C041C56" w14:textId="77777777" w:rsidR="00A1647B" w:rsidRDefault="00A1647B" w:rsidP="00A1647B">
      <w:pPr>
        <w:pStyle w:val="Doc-text2"/>
        <w:pBdr>
          <w:top w:val="single" w:sz="4" w:space="1" w:color="auto"/>
          <w:left w:val="single" w:sz="4" w:space="4" w:color="auto"/>
          <w:bottom w:val="single" w:sz="4" w:space="1" w:color="auto"/>
          <w:right w:val="single" w:sz="4" w:space="4" w:color="auto"/>
        </w:pBdr>
      </w:pPr>
      <w:r>
        <w:t>1.</w:t>
      </w:r>
      <w:r>
        <w:tab/>
        <w:t xml:space="preserve">For LCP and to know which restrictions to use the MAC needs to be aware of more information than just TTI length (e.g. numerology). An abstraction based on index or profiles can be supported.   Exact parameters are FFS.  </w:t>
      </w:r>
    </w:p>
    <w:p w14:paraId="1D1055E1" w14:textId="77777777" w:rsidR="004B4637" w:rsidRDefault="004B4637" w:rsidP="00CD4C7B"/>
    <w:p w14:paraId="72B39864" w14:textId="734AF11A" w:rsidR="00B27B9D" w:rsidRDefault="00B27B9D" w:rsidP="00CD4C7B">
      <w:r>
        <w:t>In this contribution, w</w:t>
      </w:r>
      <w:r w:rsidR="00D64E1B">
        <w:t>e further discussed the details</w:t>
      </w:r>
      <w:r w:rsidR="00A1647B">
        <w:t xml:space="preserve"> on multiple SR configurations</w:t>
      </w:r>
      <w:r w:rsidR="00D64E1B">
        <w:t>.</w:t>
      </w:r>
    </w:p>
    <w:p w14:paraId="127ACA6D" w14:textId="311CDDA1" w:rsidR="00CD4C7B" w:rsidRPr="006E13D1" w:rsidRDefault="00CD4C7B" w:rsidP="00CD4C7B">
      <w:pPr>
        <w:pStyle w:val="Heading1"/>
      </w:pPr>
      <w:r w:rsidRPr="006E13D1">
        <w:t>2</w:t>
      </w:r>
      <w:r w:rsidRPr="006E13D1">
        <w:tab/>
      </w:r>
      <w:r w:rsidR="00B27B9D">
        <w:t>Discussion</w:t>
      </w:r>
    </w:p>
    <w:p w14:paraId="03059FDE" w14:textId="29D2AA7D" w:rsidR="00A1647B" w:rsidRPr="006E13D1" w:rsidRDefault="00A1647B" w:rsidP="00A1647B">
      <w:pPr>
        <w:pStyle w:val="Heading2"/>
      </w:pPr>
      <w:r>
        <w:t>2</w:t>
      </w:r>
      <w:r w:rsidRPr="006E13D1">
        <w:t>.1</w:t>
      </w:r>
      <w:r w:rsidRPr="006E13D1">
        <w:tab/>
      </w:r>
      <w:r>
        <w:t>SR configuration mapping</w:t>
      </w:r>
    </w:p>
    <w:p w14:paraId="42DE5EFC" w14:textId="5F321577" w:rsidR="00A4683A" w:rsidRDefault="00A4683A" w:rsidP="00000ABE">
      <w:pPr>
        <w:pStyle w:val="B1"/>
        <w:ind w:left="0" w:firstLine="0"/>
      </w:pPr>
      <w:r>
        <w:t xml:space="preserve">On the open issue of whether to allow one LCH to multiple SR configurations mapping, note that in LTE without restriction, it is already possible that an SR trigger can use multiple SR configurations (uses the earliest possible occasion on PCell and PUCCH SCell if both configured with SR). Thus, it seems to be straight forward to allow one LCH to multiple SR configurations mapping. </w:t>
      </w:r>
    </w:p>
    <w:p w14:paraId="6412632A" w14:textId="5A9708A8" w:rsidR="00A4683A" w:rsidRDefault="00A4683A" w:rsidP="00000ABE">
      <w:pPr>
        <w:pStyle w:val="B1"/>
        <w:ind w:left="0" w:firstLine="0"/>
      </w:pPr>
      <w:r w:rsidRPr="008C658B">
        <w:rPr>
          <w:b/>
        </w:rPr>
        <w:t>Proposal 1</w:t>
      </w:r>
      <w:r>
        <w:t>: one LCH to multiple SR configurations mapping is allowed.</w:t>
      </w:r>
    </w:p>
    <w:p w14:paraId="6F34020D" w14:textId="150B91FE" w:rsidR="00A4683A" w:rsidRDefault="00A4683A" w:rsidP="00000ABE">
      <w:pPr>
        <w:pStyle w:val="B1"/>
        <w:ind w:left="0" w:firstLine="0"/>
      </w:pPr>
      <w:r>
        <w:lastRenderedPageBreak/>
        <w:t xml:space="preserve">To allow signalling efficiency, default </w:t>
      </w:r>
      <w:r w:rsidR="001402A2">
        <w:t xml:space="preserve">behaviour </w:t>
      </w:r>
      <w:r>
        <w:t xml:space="preserve">should be if the </w:t>
      </w:r>
      <w:r w:rsidR="008C658B">
        <w:t xml:space="preserve">LCH </w:t>
      </w:r>
      <w:r w:rsidR="001402A2">
        <w:t xml:space="preserve">has not been mapped </w:t>
      </w:r>
      <w:r w:rsidR="008C658B">
        <w:t xml:space="preserve">to </w:t>
      </w:r>
      <w:r w:rsidR="001402A2">
        <w:t xml:space="preserve">any </w:t>
      </w:r>
      <w:r w:rsidR="008C658B">
        <w:t xml:space="preserve">SR </w:t>
      </w:r>
      <w:r>
        <w:t>configured, the LCH can use any SR configuration.</w:t>
      </w:r>
      <w:r w:rsidR="001402A2" w:rsidRPr="001402A2">
        <w:t xml:space="preserve"> </w:t>
      </w:r>
      <w:r w:rsidR="001402A2">
        <w:t>For instance, SRBs are usually using default LCH configurations and NW would not be required to reconfigure each SRB when another SR configuration is provided for the UE.</w:t>
      </w:r>
      <w:r>
        <w:t xml:space="preserve"> When SR is triggered, it uses the earliest SR occasion</w:t>
      </w:r>
      <w:r w:rsidR="008C658B">
        <w:t xml:space="preserve"> as in LTE</w:t>
      </w:r>
      <w:r>
        <w:t>.</w:t>
      </w:r>
      <w:r w:rsidR="008C658B">
        <w:t xml:space="preserve"> </w:t>
      </w:r>
      <w:r w:rsidR="001402A2">
        <w:t xml:space="preserve">Obviously, this would </w:t>
      </w:r>
      <w:r w:rsidR="008C658B">
        <w:t xml:space="preserve">not apply to the LCHs </w:t>
      </w:r>
      <w:r w:rsidR="008C658B" w:rsidRPr="008C658B">
        <w:t>not assigned to any LCG</w:t>
      </w:r>
      <w:r w:rsidR="008C658B">
        <w:t>. Those LCHs</w:t>
      </w:r>
      <w:r w:rsidR="008C658B" w:rsidRPr="008C658B">
        <w:t xml:space="preserve"> do not need to be mapped to any SR as data arrival on that LCH does not trigger a BSR</w:t>
      </w:r>
      <w:r w:rsidR="008C658B">
        <w:t>/SR</w:t>
      </w:r>
      <w:r w:rsidR="008C658B" w:rsidRPr="008C658B">
        <w:t xml:space="preserve"> in MAC.</w:t>
      </w:r>
    </w:p>
    <w:p w14:paraId="63456726" w14:textId="77EC6C8D" w:rsidR="00D64E1B" w:rsidRDefault="00D64E1B" w:rsidP="00000ABE">
      <w:pPr>
        <w:pStyle w:val="B1"/>
        <w:ind w:left="0" w:firstLine="0"/>
      </w:pPr>
      <w:r w:rsidRPr="00D64E1B">
        <w:rPr>
          <w:b/>
        </w:rPr>
        <w:t xml:space="preserve">Proposal </w:t>
      </w:r>
      <w:r w:rsidR="003272E1">
        <w:rPr>
          <w:b/>
        </w:rPr>
        <w:t>2</w:t>
      </w:r>
      <w:r>
        <w:t>:</w:t>
      </w:r>
      <w:r w:rsidR="008C658B">
        <w:t xml:space="preserve"> If no mapping </w:t>
      </w:r>
      <w:r w:rsidR="001402A2">
        <w:t xml:space="preserve">to specific SR configuration </w:t>
      </w:r>
      <w:r w:rsidR="008C658B">
        <w:t>is configured to a LCH which is assigned to a LCG, SR triggered by the LCH can use any SR configuration</w:t>
      </w:r>
      <w:r>
        <w:t>.</w:t>
      </w:r>
    </w:p>
    <w:p w14:paraId="590F39A1" w14:textId="2E43F3D4" w:rsidR="008C658B" w:rsidRDefault="008C658B" w:rsidP="00000ABE">
      <w:pPr>
        <w:pStyle w:val="B1"/>
        <w:ind w:left="0" w:firstLine="0"/>
      </w:pPr>
      <w:r>
        <w:t>Retransmission BSR is also considered as regular BSR which would trigger SR. As retransmission BSR happens when the first BSR fails, possibly also the SR failed, it makes sense to allow SR triggered by retransmission BSR to use any SR configuration.</w:t>
      </w:r>
    </w:p>
    <w:p w14:paraId="7AF1A404" w14:textId="5CFA7C72" w:rsidR="008C658B" w:rsidRDefault="008C658B" w:rsidP="00000ABE">
      <w:pPr>
        <w:pStyle w:val="B1"/>
        <w:ind w:left="0" w:firstLine="0"/>
      </w:pPr>
      <w:r w:rsidRPr="008C658B">
        <w:rPr>
          <w:b/>
        </w:rPr>
        <w:t>Proposal 3</w:t>
      </w:r>
      <w:r>
        <w:t xml:space="preserve">: SR mapping restriction only applicable to the regular BSR triggered by higher priority data arrival, but not to SR triggered by retransmission BSR. </w:t>
      </w:r>
    </w:p>
    <w:p w14:paraId="6720E70D" w14:textId="77777777" w:rsidR="00F86954" w:rsidRDefault="00A1647B" w:rsidP="00A1647B">
      <w:pPr>
        <w:pStyle w:val="Heading2"/>
      </w:pPr>
      <w:r>
        <w:t>2</w:t>
      </w:r>
      <w:r w:rsidRPr="006E13D1">
        <w:t>.</w:t>
      </w:r>
      <w:r>
        <w:t>2</w:t>
      </w:r>
      <w:r w:rsidRPr="006E13D1">
        <w:tab/>
      </w:r>
      <w:r w:rsidR="00F86954">
        <w:t>SR procedure</w:t>
      </w:r>
    </w:p>
    <w:p w14:paraId="14D47016" w14:textId="1B75A3BD" w:rsidR="00CF6BF6" w:rsidRDefault="00F86954" w:rsidP="00F86954">
      <w:pPr>
        <w:pStyle w:val="B1"/>
        <w:ind w:left="0" w:firstLine="0"/>
      </w:pPr>
      <w:r>
        <w:t>There has been some discussion of whether multiple SR procedure</w:t>
      </w:r>
      <w:r w:rsidR="001402A2">
        <w:t>s</w:t>
      </w:r>
      <w:r>
        <w:t xml:space="preserve"> or single SR procedure </w:t>
      </w:r>
      <w:r w:rsidR="001402A2">
        <w:t>should be used when multiple SR configurations are provided</w:t>
      </w:r>
      <w:r>
        <w:t xml:space="preserve">. </w:t>
      </w:r>
      <w:r w:rsidR="00CF6BF6">
        <w:t>Considering the timers</w:t>
      </w:r>
      <w:r w:rsidR="001402A2">
        <w:t>,</w:t>
      </w:r>
      <w:r w:rsidR="00CF6BF6">
        <w:t xml:space="preserve"> counters and cancellation rules, it </w:t>
      </w:r>
      <w:r w:rsidR="001402A2">
        <w:t xml:space="preserve">seems to be </w:t>
      </w:r>
      <w:r w:rsidR="00CF6BF6">
        <w:t xml:space="preserve">simpler to have single SR procedure. </w:t>
      </w:r>
    </w:p>
    <w:p w14:paraId="5B8B9039" w14:textId="0B175292" w:rsidR="00CF6BF6" w:rsidRDefault="00CF6BF6" w:rsidP="00F86954">
      <w:pPr>
        <w:pStyle w:val="B1"/>
        <w:ind w:left="0" w:firstLine="0"/>
      </w:pPr>
      <w:r>
        <w:t>When multiple SR</w:t>
      </w:r>
      <w:r w:rsidR="001402A2">
        <w:t>s</w:t>
      </w:r>
      <w:r>
        <w:t xml:space="preserve"> </w:t>
      </w:r>
      <w:r w:rsidR="001402A2">
        <w:t xml:space="preserve">are </w:t>
      </w:r>
      <w:r>
        <w:t xml:space="preserve">triggered, the only impact of the LCH to SR configuration restriction is that the usable SR configurations are different depending on the LCHs that triggers the SR. When there are multiple SR triggers </w:t>
      </w:r>
      <w:r w:rsidR="00DF140A">
        <w:t>pending</w:t>
      </w:r>
      <w:r>
        <w:t xml:space="preserve">, the usable SR </w:t>
      </w:r>
      <w:r w:rsidR="00F766B6">
        <w:t>occasions</w:t>
      </w:r>
      <w:r>
        <w:t xml:space="preserve"> </w:t>
      </w:r>
      <w:r w:rsidR="00F766B6">
        <w:t>are</w:t>
      </w:r>
      <w:r>
        <w:t xml:space="preserve"> union of the SR </w:t>
      </w:r>
      <w:r w:rsidR="00F766B6">
        <w:t>occasions</w:t>
      </w:r>
      <w:r>
        <w:t xml:space="preserve"> that </w:t>
      </w:r>
      <w:r w:rsidR="00DF140A">
        <w:t xml:space="preserve">can </w:t>
      </w:r>
      <w:r>
        <w:t xml:space="preserve">be used for the LCHs that </w:t>
      </w:r>
      <w:r w:rsidR="00F766B6">
        <w:t xml:space="preserve">have </w:t>
      </w:r>
      <w:r>
        <w:t xml:space="preserve">triggered the SR. Then the timer and counter </w:t>
      </w:r>
      <w:r w:rsidR="00F766B6">
        <w:t xml:space="preserve">for SR procedure </w:t>
      </w:r>
      <w:r>
        <w:t>would work the same way as in LTE.</w:t>
      </w:r>
    </w:p>
    <w:p w14:paraId="66B6ADC1" w14:textId="77777777" w:rsidR="00DF140A" w:rsidRDefault="00DF140A" w:rsidP="00DF140A">
      <w:pPr>
        <w:pStyle w:val="B1"/>
        <w:ind w:left="0" w:firstLine="0"/>
      </w:pPr>
      <w:r>
        <w:rPr>
          <w:b/>
        </w:rPr>
        <w:t>Proposal 4</w:t>
      </w:r>
      <w:r>
        <w:t>: There is only one SR procedure ongoing per MAC entity regardless of how many different SR configurations are associated to the LCH(s) with pending SR.</w:t>
      </w:r>
    </w:p>
    <w:p w14:paraId="6991DD38" w14:textId="77DE102B" w:rsidR="00DF140A" w:rsidRDefault="00DF140A" w:rsidP="00DF140A">
      <w:pPr>
        <w:pStyle w:val="B1"/>
        <w:ind w:left="0" w:firstLine="0"/>
      </w:pPr>
      <w:r>
        <w:rPr>
          <w:b/>
        </w:rPr>
        <w:t>Proposal 5</w:t>
      </w:r>
      <w:r>
        <w:t>: the usable SR occasions take into account all the pending SR triggers, i.e. the usable SR occasions are the union of the SR occasions that could be used for the LCHs having triggered the SR procedure.</w:t>
      </w:r>
    </w:p>
    <w:p w14:paraId="34B8EBCC" w14:textId="659D1036" w:rsidR="00DF140A" w:rsidRDefault="00DF140A" w:rsidP="00DF140A">
      <w:pPr>
        <w:pStyle w:val="B1"/>
        <w:ind w:left="0" w:firstLine="0"/>
      </w:pPr>
      <w:r>
        <w:rPr>
          <w:b/>
          <w:noProof/>
        </w:rPr>
        <w:t>Proposal 6</w:t>
      </w:r>
      <w:r>
        <w:rPr>
          <w:noProof/>
        </w:rPr>
        <w:t xml:space="preserve">: </w:t>
      </w:r>
      <w:r>
        <w:t>as in LTE,</w:t>
      </w:r>
      <w:r>
        <w:rPr>
          <w:rFonts w:cs="Arial"/>
          <w:color w:val="595959"/>
        </w:rPr>
        <w:t xml:space="preserve"> </w:t>
      </w:r>
      <w:r>
        <w:rPr>
          <w:i/>
          <w:noProof/>
        </w:rPr>
        <w:t>SR_COUNTER</w:t>
      </w:r>
      <w:r>
        <w:rPr>
          <w:rFonts w:cs="Arial"/>
          <w:color w:val="595959"/>
        </w:rPr>
        <w:t xml:space="preserve"> </w:t>
      </w:r>
      <w:r>
        <w:rPr>
          <w:noProof/>
        </w:rPr>
        <w:t>and</w:t>
      </w:r>
      <w:r>
        <w:rPr>
          <w:i/>
          <w:noProof/>
        </w:rPr>
        <w:t xml:space="preserve"> sr-ProhibitTimer</w:t>
      </w:r>
      <w:r>
        <w:rPr>
          <w:noProof/>
        </w:rPr>
        <w:t xml:space="preserve"> are per MAC entity.</w:t>
      </w:r>
    </w:p>
    <w:p w14:paraId="35D73A0E" w14:textId="3FD56059" w:rsidR="00D64E1B" w:rsidRDefault="00D64E1B" w:rsidP="00A1647B">
      <w:pPr>
        <w:pStyle w:val="B1"/>
        <w:ind w:left="0" w:firstLine="0"/>
        <w:rPr>
          <w:noProof/>
        </w:rPr>
      </w:pPr>
      <w:r>
        <w:t xml:space="preserve">For timers, </w:t>
      </w:r>
      <w:r w:rsidRPr="00D35E59">
        <w:rPr>
          <w:i/>
          <w:noProof/>
        </w:rPr>
        <w:t>logicalChannelSR</w:t>
      </w:r>
      <w:r>
        <w:rPr>
          <w:i/>
          <w:noProof/>
        </w:rPr>
        <w:t>-</w:t>
      </w:r>
      <w:r w:rsidRPr="00D35E59">
        <w:rPr>
          <w:i/>
          <w:noProof/>
        </w:rPr>
        <w:t>ProhibitTimer</w:t>
      </w:r>
      <w:r>
        <w:rPr>
          <w:noProof/>
        </w:rPr>
        <w:t xml:space="preserve"> and </w:t>
      </w:r>
      <w:r w:rsidRPr="002F4F3B">
        <w:rPr>
          <w:i/>
          <w:noProof/>
        </w:rPr>
        <w:t>sr-ProhibitTimer</w:t>
      </w:r>
      <w:r>
        <w:rPr>
          <w:noProof/>
        </w:rPr>
        <w:t xml:space="preserve"> were agreed to be adopted for NR. </w:t>
      </w:r>
      <w:r w:rsidR="00063EC8" w:rsidRPr="00D35E59">
        <w:rPr>
          <w:i/>
          <w:noProof/>
        </w:rPr>
        <w:t>logicalChannelSR</w:t>
      </w:r>
      <w:r w:rsidR="00063EC8">
        <w:rPr>
          <w:i/>
          <w:noProof/>
        </w:rPr>
        <w:t>-</w:t>
      </w:r>
      <w:r w:rsidR="00063EC8" w:rsidRPr="00D35E59">
        <w:rPr>
          <w:i/>
          <w:noProof/>
        </w:rPr>
        <w:t>ProhibitTimer</w:t>
      </w:r>
      <w:r w:rsidR="00063EC8">
        <w:rPr>
          <w:noProof/>
        </w:rPr>
        <w:t xml:space="preserve"> is used to delay certain SR triggered by certain LCHs and </w:t>
      </w:r>
      <w:r w:rsidR="00063EC8" w:rsidRPr="002F4F3B">
        <w:rPr>
          <w:i/>
          <w:noProof/>
        </w:rPr>
        <w:t>sr-ProhibitTimer</w:t>
      </w:r>
      <w:r w:rsidR="00063EC8">
        <w:rPr>
          <w:i/>
          <w:noProof/>
        </w:rPr>
        <w:t xml:space="preserve"> </w:t>
      </w:r>
      <w:r w:rsidR="00063EC8">
        <w:rPr>
          <w:noProof/>
        </w:rPr>
        <w:t>is used to prohibit too frequent</w:t>
      </w:r>
      <w:r w:rsidR="003272E1">
        <w:rPr>
          <w:noProof/>
        </w:rPr>
        <w:t xml:space="preserve"> SR transmissions.</w:t>
      </w:r>
      <w:r w:rsidR="00063EC8">
        <w:rPr>
          <w:noProof/>
        </w:rPr>
        <w:t xml:space="preserve"> </w:t>
      </w:r>
      <w:r w:rsidR="001B5D36">
        <w:t xml:space="preserve">With the possibility of mapping different LCHs that has different delay requirement to different SR configurations, there seems no need to introduce per LCH </w:t>
      </w:r>
      <w:r w:rsidR="001B5D36" w:rsidRPr="00D35E59">
        <w:rPr>
          <w:i/>
          <w:noProof/>
        </w:rPr>
        <w:t>logicalChannelSR</w:t>
      </w:r>
      <w:r w:rsidR="001B5D36">
        <w:rPr>
          <w:i/>
          <w:noProof/>
        </w:rPr>
        <w:t>-</w:t>
      </w:r>
      <w:r w:rsidR="001B5D36" w:rsidRPr="00D35E59">
        <w:rPr>
          <w:i/>
          <w:noProof/>
        </w:rPr>
        <w:t>ProhibitTimer</w:t>
      </w:r>
      <w:r w:rsidR="001B5D36">
        <w:rPr>
          <w:noProof/>
        </w:rPr>
        <w:t xml:space="preserve">. </w:t>
      </w:r>
    </w:p>
    <w:p w14:paraId="2D34CAE8" w14:textId="585B905F" w:rsidR="00831D58" w:rsidRDefault="00831D58" w:rsidP="00831D58">
      <w:pPr>
        <w:pStyle w:val="B1"/>
        <w:ind w:left="0" w:firstLine="0"/>
        <w:rPr>
          <w:noProof/>
        </w:rPr>
      </w:pPr>
      <w:r w:rsidRPr="00D64E1B">
        <w:rPr>
          <w:b/>
        </w:rPr>
        <w:t>Proposal</w:t>
      </w:r>
      <w:r w:rsidR="00DF140A">
        <w:rPr>
          <w:b/>
        </w:rPr>
        <w:t>7</w:t>
      </w:r>
      <w:r>
        <w:t xml:space="preserve">: as in LTE, </w:t>
      </w:r>
      <w:r w:rsidRPr="00D35E59">
        <w:rPr>
          <w:i/>
          <w:noProof/>
        </w:rPr>
        <w:t>logicalChannelSR</w:t>
      </w:r>
      <w:r>
        <w:rPr>
          <w:i/>
          <w:noProof/>
        </w:rPr>
        <w:t>-</w:t>
      </w:r>
      <w:r w:rsidRPr="00D35E59">
        <w:rPr>
          <w:i/>
          <w:noProof/>
        </w:rPr>
        <w:t>ProhibitTimer</w:t>
      </w:r>
      <w:r>
        <w:rPr>
          <w:noProof/>
        </w:rPr>
        <w:t xml:space="preserve"> is per MAC entity and applies to which LCHs can be configured separately with per LCH parameter </w:t>
      </w:r>
      <w:r w:rsidRPr="00D64E1B">
        <w:rPr>
          <w:i/>
          <w:noProof/>
        </w:rPr>
        <w:t>logicalChannelSR-Prohibit</w:t>
      </w:r>
      <w:r>
        <w:rPr>
          <w:noProof/>
        </w:rPr>
        <w:t>.</w:t>
      </w:r>
    </w:p>
    <w:p w14:paraId="1D76FF42" w14:textId="72EAED40" w:rsidR="00BC7B7D" w:rsidRDefault="00BC7B7D" w:rsidP="00831D58">
      <w:pPr>
        <w:pStyle w:val="B1"/>
        <w:ind w:left="0" w:firstLine="0"/>
        <w:rPr>
          <w:b/>
          <w:noProof/>
        </w:rPr>
      </w:pPr>
      <w:r>
        <w:rPr>
          <w:noProof/>
        </w:rPr>
        <w:t xml:space="preserve">In LTE, it is already possible to have multiple SR configurations on PCell and PUCCH Scell and </w:t>
      </w:r>
      <w:r w:rsidRPr="00BC7B7D">
        <w:rPr>
          <w:i/>
          <w:noProof/>
        </w:rPr>
        <w:t>sr</w:t>
      </w:r>
      <w:r w:rsidRPr="002F4F3B">
        <w:rPr>
          <w:i/>
          <w:noProof/>
        </w:rPr>
        <w:t>-ProhibitTimer</w:t>
      </w:r>
      <w:r>
        <w:rPr>
          <w:noProof/>
        </w:rPr>
        <w:t xml:space="preserve"> is </w:t>
      </w:r>
      <w:r w:rsidRPr="00FC0DF3">
        <w:rPr>
          <w:noProof/>
          <w:lang w:eastAsia="en-GB"/>
        </w:rPr>
        <w:t>in number of SR period(s)</w:t>
      </w:r>
      <w:r w:rsidRPr="001B51D6">
        <w:rPr>
          <w:lang w:eastAsia="en-GB"/>
        </w:rPr>
        <w:t xml:space="preserve"> </w:t>
      </w:r>
      <w:r w:rsidRPr="00103E3D">
        <w:rPr>
          <w:lang w:eastAsia="en-GB"/>
        </w:rPr>
        <w:t>of shortest SR period of any serving cell with PUCCH</w:t>
      </w:r>
      <w:r w:rsidRPr="00FC0DF3">
        <w:rPr>
          <w:noProof/>
          <w:lang w:eastAsia="en-GB"/>
        </w:rPr>
        <w:t>.</w:t>
      </w:r>
      <w:r>
        <w:rPr>
          <w:noProof/>
          <w:lang w:eastAsia="en-GB"/>
        </w:rPr>
        <w:t xml:space="preserve"> Same could be applicable to NR considering it is to prevent too frequent SR transmissions before the gNB can respond. If periodicity is longer than the configured number of SR period of the shortest SR period, then no prohibit needs to be applied to that PUCCH.</w:t>
      </w:r>
      <w:r w:rsidR="001402A2">
        <w:rPr>
          <w:noProof/>
          <w:lang w:eastAsia="en-GB"/>
        </w:rPr>
        <w:t xml:space="preserve"> However, if </w:t>
      </w:r>
      <w:r w:rsidR="001402A2" w:rsidRPr="00A736C0">
        <w:rPr>
          <w:i/>
          <w:noProof/>
          <w:lang w:eastAsia="en-GB"/>
        </w:rPr>
        <w:t>sr-ProhibitTimer</w:t>
      </w:r>
      <w:r w:rsidR="001402A2">
        <w:rPr>
          <w:noProof/>
          <w:lang w:eastAsia="en-GB"/>
        </w:rPr>
        <w:t xml:space="preserve"> is already running based on a lower priority data trigger, this could prevent an SR transmission triggered by higher priority data at this phase.</w:t>
      </w:r>
      <w:r w:rsidR="00CF6BF6">
        <w:rPr>
          <w:noProof/>
          <w:lang w:eastAsia="en-GB"/>
        </w:rPr>
        <w:t xml:space="preserve"> To avoid earlier triggered SR prohibit higher priority data</w:t>
      </w:r>
      <w:r w:rsidR="001402A2" w:rsidRPr="001402A2">
        <w:rPr>
          <w:noProof/>
          <w:lang w:eastAsia="en-GB"/>
        </w:rPr>
        <w:t xml:space="preserve"> </w:t>
      </w:r>
      <w:r w:rsidR="001402A2">
        <w:rPr>
          <w:noProof/>
          <w:lang w:eastAsia="en-GB"/>
        </w:rPr>
        <w:t>of transmitting SR</w:t>
      </w:r>
      <w:r w:rsidR="00CF6BF6">
        <w:rPr>
          <w:noProof/>
          <w:lang w:eastAsia="en-GB"/>
        </w:rPr>
        <w:t xml:space="preserve">, new SR triggered </w:t>
      </w:r>
      <w:r w:rsidR="0020718C">
        <w:rPr>
          <w:noProof/>
          <w:lang w:eastAsia="en-GB"/>
        </w:rPr>
        <w:t xml:space="preserve">by </w:t>
      </w:r>
      <w:r w:rsidR="00CF6BF6">
        <w:rPr>
          <w:noProof/>
          <w:lang w:eastAsia="en-GB"/>
        </w:rPr>
        <w:t xml:space="preserve">higher priority data should stop the </w:t>
      </w:r>
      <w:r w:rsidR="00CF6BF6" w:rsidRPr="002F4F3B">
        <w:rPr>
          <w:i/>
          <w:noProof/>
        </w:rPr>
        <w:t>sr-ProhibitTimer</w:t>
      </w:r>
      <w:r w:rsidR="00CF6BF6">
        <w:rPr>
          <w:noProof/>
        </w:rPr>
        <w:t>.</w:t>
      </w:r>
    </w:p>
    <w:p w14:paraId="3B1DE065" w14:textId="444FDFC0" w:rsidR="00CF6BF6" w:rsidRDefault="00831D58" w:rsidP="00831D58">
      <w:pPr>
        <w:pStyle w:val="B1"/>
        <w:ind w:left="0" w:firstLine="0"/>
        <w:rPr>
          <w:noProof/>
        </w:rPr>
      </w:pPr>
      <w:r w:rsidRPr="00831D58">
        <w:rPr>
          <w:b/>
          <w:noProof/>
        </w:rPr>
        <w:t xml:space="preserve">Proposal </w:t>
      </w:r>
      <w:r w:rsidR="00DF140A">
        <w:rPr>
          <w:b/>
          <w:noProof/>
        </w:rPr>
        <w:t>8</w:t>
      </w:r>
      <w:r>
        <w:rPr>
          <w:noProof/>
        </w:rPr>
        <w:t xml:space="preserve">: </w:t>
      </w:r>
      <w:r>
        <w:t>as in LTE</w:t>
      </w:r>
      <w:r w:rsidRPr="00831D58">
        <w:rPr>
          <w:i/>
          <w:noProof/>
        </w:rPr>
        <w:t xml:space="preserve"> </w:t>
      </w:r>
      <w:r w:rsidRPr="002F4F3B">
        <w:rPr>
          <w:i/>
          <w:noProof/>
        </w:rPr>
        <w:t>sr-ProhibitTimer</w:t>
      </w:r>
      <w:r>
        <w:rPr>
          <w:noProof/>
        </w:rPr>
        <w:t xml:space="preserve"> is per MAC entity</w:t>
      </w:r>
      <w:r w:rsidR="00CF6BF6">
        <w:rPr>
          <w:noProof/>
        </w:rPr>
        <w:t>, and it counts the shortest periodicity of the SR configurations that are usable for the SR procedure</w:t>
      </w:r>
      <w:r>
        <w:rPr>
          <w:noProof/>
        </w:rPr>
        <w:t>.</w:t>
      </w:r>
    </w:p>
    <w:p w14:paraId="162BFEB8" w14:textId="30D108B7" w:rsidR="0020718C" w:rsidRDefault="0020718C" w:rsidP="00831D58">
      <w:pPr>
        <w:pStyle w:val="B1"/>
        <w:ind w:left="0" w:firstLine="0"/>
        <w:rPr>
          <w:noProof/>
        </w:rPr>
      </w:pPr>
      <w:r w:rsidRPr="00831D58">
        <w:rPr>
          <w:b/>
          <w:noProof/>
        </w:rPr>
        <w:t>Proposal</w:t>
      </w:r>
      <w:r w:rsidR="00F97AC8">
        <w:rPr>
          <w:b/>
          <w:noProof/>
        </w:rPr>
        <w:t xml:space="preserve"> </w:t>
      </w:r>
      <w:r w:rsidR="00DF140A">
        <w:rPr>
          <w:b/>
          <w:noProof/>
        </w:rPr>
        <w:t>9</w:t>
      </w:r>
      <w:r>
        <w:rPr>
          <w:noProof/>
        </w:rPr>
        <w:t xml:space="preserve">: </w:t>
      </w:r>
      <w:r>
        <w:rPr>
          <w:noProof/>
          <w:lang w:eastAsia="en-GB"/>
        </w:rPr>
        <w:t xml:space="preserve">new SR triggered by higher priority data </w:t>
      </w:r>
      <w:r w:rsidR="001402A2">
        <w:rPr>
          <w:noProof/>
          <w:lang w:eastAsia="en-GB"/>
        </w:rPr>
        <w:t xml:space="preserve">(with different SR configuration having shorter periodicity) </w:t>
      </w:r>
      <w:r>
        <w:rPr>
          <w:noProof/>
          <w:lang w:eastAsia="en-GB"/>
        </w:rPr>
        <w:t xml:space="preserve">stops the </w:t>
      </w:r>
      <w:r w:rsidRPr="002F4F3B">
        <w:rPr>
          <w:i/>
          <w:noProof/>
        </w:rPr>
        <w:t>sr-ProhibitTimer</w:t>
      </w:r>
      <w:r>
        <w:rPr>
          <w:noProof/>
        </w:rPr>
        <w:t>.</w:t>
      </w:r>
    </w:p>
    <w:p w14:paraId="4DFB428C" w14:textId="54037E12" w:rsidR="00CF6BF6" w:rsidRDefault="00CF6BF6" w:rsidP="00CF6BF6">
      <w:pPr>
        <w:pStyle w:val="B1"/>
        <w:ind w:left="0" w:firstLine="0"/>
      </w:pPr>
      <w:r>
        <w:t>For SR cancellation, in LTE, “</w:t>
      </w:r>
      <w:r w:rsidRPr="00D64E1B">
        <w:rPr>
          <w:i/>
          <w:noProof/>
        </w:rPr>
        <w:t>All pending SR(s) shall be cancelled and sr-ProhibitTimer shall be stopped when a MAC PDU is assembled and this PDU includes a BSR which contains buffer status up to (and including) the last event that triggered a BSR (see subclause 5.4.5), or when the UL grant(s) can accommodate all pending data available for transmission</w:t>
      </w:r>
      <w:r>
        <w:rPr>
          <w:noProof/>
        </w:rPr>
        <w:t>”. Upon reception of the BSR the gNB gets the information of which LCGs has data for transmission even if the BSR is not send on a UL grant of the “correct” numerology/TTI length.</w:t>
      </w:r>
      <w:r w:rsidR="00F836B4">
        <w:rPr>
          <w:noProof/>
        </w:rPr>
        <w:t xml:space="preserve"> </w:t>
      </w:r>
      <w:r w:rsidR="00F836B4">
        <w:t>With one SR procedure</w:t>
      </w:r>
      <w:r>
        <w:rPr>
          <w:noProof/>
        </w:rPr>
        <w:t xml:space="preserve"> Same cancellation mechanism should be applicable to NR as well.</w:t>
      </w:r>
    </w:p>
    <w:p w14:paraId="3B34D631" w14:textId="27248A2B" w:rsidR="00CF6BF6" w:rsidRDefault="00CF6BF6" w:rsidP="00CF6BF6">
      <w:pPr>
        <w:pStyle w:val="B1"/>
        <w:ind w:left="0" w:firstLine="0"/>
        <w:rPr>
          <w:noProof/>
        </w:rPr>
      </w:pPr>
      <w:r w:rsidRPr="00D64E1B">
        <w:rPr>
          <w:b/>
        </w:rPr>
        <w:lastRenderedPageBreak/>
        <w:t xml:space="preserve">Proposal </w:t>
      </w:r>
      <w:r w:rsidR="00DF140A">
        <w:rPr>
          <w:b/>
        </w:rPr>
        <w:t>10</w:t>
      </w:r>
      <w:r>
        <w:t xml:space="preserve">: as in LTE, </w:t>
      </w:r>
      <w:r w:rsidRPr="00D64E1B">
        <w:rPr>
          <w:i/>
          <w:noProof/>
        </w:rPr>
        <w:t>All pending SR(s) shall be cancelled and sr-ProhibitTimer shall be stopped when a MAC PDU is assembled and this PDU includes a BSR which contains buffer status up to (and including) the last event that triggered a BSR, or when the UL grant(s) can accommodate all pending data available for transmission</w:t>
      </w:r>
      <w:r>
        <w:rPr>
          <w:noProof/>
        </w:rPr>
        <w:t>.</w:t>
      </w:r>
    </w:p>
    <w:p w14:paraId="01244AD4" w14:textId="77777777" w:rsidR="00CF6BF6" w:rsidRPr="00831D58" w:rsidRDefault="00CF6BF6" w:rsidP="00831D58">
      <w:pPr>
        <w:pStyle w:val="B1"/>
        <w:ind w:left="0" w:firstLine="0"/>
        <w:rPr>
          <w:noProof/>
        </w:rPr>
      </w:pPr>
    </w:p>
    <w:p w14:paraId="43A12B72" w14:textId="62119577" w:rsidR="00CD4C7B" w:rsidRPr="006E13D1" w:rsidRDefault="003272E1" w:rsidP="00CD4C7B">
      <w:pPr>
        <w:pStyle w:val="Heading1"/>
      </w:pPr>
      <w:r>
        <w:t>3</w:t>
      </w:r>
      <w:r w:rsidR="00CD4C7B" w:rsidRPr="006E13D1">
        <w:tab/>
      </w:r>
      <w:r>
        <w:t>Conclusion</w:t>
      </w:r>
    </w:p>
    <w:p w14:paraId="190C81D1" w14:textId="3EF23B18" w:rsidR="00CD4C7B" w:rsidRDefault="003272E1" w:rsidP="00CD4C7B">
      <w:r>
        <w:t xml:space="preserve">Details on SR procedures are discussed in this contribution with the following </w:t>
      </w:r>
      <w:r w:rsidR="00A1647B">
        <w:t xml:space="preserve">observations and </w:t>
      </w:r>
      <w:r>
        <w:t xml:space="preserve">proposals </w:t>
      </w:r>
      <w:r w:rsidR="00274513">
        <w:t>made</w:t>
      </w:r>
      <w:r>
        <w:t>:</w:t>
      </w:r>
    </w:p>
    <w:p w14:paraId="5C1BB3BB" w14:textId="77777777" w:rsidR="00F836B4" w:rsidRDefault="00F836B4" w:rsidP="00F836B4">
      <w:pPr>
        <w:pStyle w:val="B1"/>
        <w:ind w:left="0" w:firstLine="0"/>
      </w:pPr>
      <w:r w:rsidRPr="008C658B">
        <w:rPr>
          <w:b/>
        </w:rPr>
        <w:t>Proposal 1</w:t>
      </w:r>
      <w:r>
        <w:t>: one LCH to multiple SR configurations mapping is allowed.</w:t>
      </w:r>
    </w:p>
    <w:p w14:paraId="1B7A12C7" w14:textId="18C75467" w:rsidR="00F836B4" w:rsidRDefault="00F836B4" w:rsidP="00F836B4">
      <w:pPr>
        <w:pStyle w:val="B1"/>
        <w:ind w:left="0" w:firstLine="0"/>
      </w:pPr>
      <w:r w:rsidRPr="00D64E1B">
        <w:rPr>
          <w:b/>
        </w:rPr>
        <w:t xml:space="preserve">Proposal </w:t>
      </w:r>
      <w:r>
        <w:rPr>
          <w:b/>
        </w:rPr>
        <w:t>2</w:t>
      </w:r>
      <w:r>
        <w:t xml:space="preserve">: If no mapping </w:t>
      </w:r>
      <w:r w:rsidR="001402A2">
        <w:t xml:space="preserve">to specific SR configuration </w:t>
      </w:r>
      <w:r>
        <w:t>is configured to a LCH which is assigned to a LCG, SR triggered by the LCH can use any SR configuration.</w:t>
      </w:r>
    </w:p>
    <w:p w14:paraId="45107F93" w14:textId="77777777" w:rsidR="00F836B4" w:rsidRDefault="00F836B4" w:rsidP="00F836B4">
      <w:pPr>
        <w:pStyle w:val="B1"/>
        <w:ind w:left="0" w:firstLine="0"/>
      </w:pPr>
      <w:r w:rsidRPr="008C658B">
        <w:rPr>
          <w:b/>
        </w:rPr>
        <w:t>Proposal 3</w:t>
      </w:r>
      <w:r>
        <w:t xml:space="preserve">: SR mapping restriction only applicable to the regular BSR triggered by higher priority data arrival, but not to SR triggered by retransmission BSR. </w:t>
      </w:r>
    </w:p>
    <w:p w14:paraId="2BA32421" w14:textId="77777777" w:rsidR="00DF140A" w:rsidRDefault="00DF140A" w:rsidP="00DF140A">
      <w:pPr>
        <w:pStyle w:val="B1"/>
        <w:ind w:left="0" w:firstLine="0"/>
      </w:pPr>
      <w:r>
        <w:rPr>
          <w:b/>
        </w:rPr>
        <w:t>Proposal 4</w:t>
      </w:r>
      <w:r>
        <w:t>: There is only one SR procedure ongoing per MAC entity regardless of how many different SR configurations are associated to the LCH(s) with pending SR.</w:t>
      </w:r>
    </w:p>
    <w:p w14:paraId="2CADC288" w14:textId="77777777" w:rsidR="00DF140A" w:rsidRDefault="00DF140A" w:rsidP="00DF140A">
      <w:pPr>
        <w:pStyle w:val="B1"/>
        <w:ind w:left="0" w:firstLine="0"/>
      </w:pPr>
      <w:r>
        <w:rPr>
          <w:b/>
        </w:rPr>
        <w:t>Proposal 5</w:t>
      </w:r>
      <w:r>
        <w:t>: the usable SR occasions take into account all the pending SR triggers, i.e. the usable SR occasions are the union of the SR occasions that could be used for the LCHs having triggered the SR procedure.</w:t>
      </w:r>
    </w:p>
    <w:p w14:paraId="210CAC42" w14:textId="56E792F5" w:rsidR="00DF140A" w:rsidRDefault="00DF140A" w:rsidP="00DF140A">
      <w:pPr>
        <w:pStyle w:val="B1"/>
        <w:ind w:left="0" w:firstLine="0"/>
        <w:rPr>
          <w:noProof/>
        </w:rPr>
      </w:pPr>
      <w:r>
        <w:rPr>
          <w:b/>
          <w:noProof/>
        </w:rPr>
        <w:t>Proposal 6</w:t>
      </w:r>
      <w:r>
        <w:rPr>
          <w:noProof/>
        </w:rPr>
        <w:t xml:space="preserve">: </w:t>
      </w:r>
      <w:r>
        <w:t>as in LTE,</w:t>
      </w:r>
      <w:r>
        <w:rPr>
          <w:rFonts w:cs="Arial"/>
          <w:color w:val="595959"/>
        </w:rPr>
        <w:t xml:space="preserve"> </w:t>
      </w:r>
      <w:r>
        <w:rPr>
          <w:i/>
          <w:noProof/>
        </w:rPr>
        <w:t>SR_COUNTER</w:t>
      </w:r>
      <w:r>
        <w:rPr>
          <w:rFonts w:cs="Arial"/>
          <w:color w:val="595959"/>
        </w:rPr>
        <w:t xml:space="preserve"> </w:t>
      </w:r>
      <w:r>
        <w:rPr>
          <w:noProof/>
        </w:rPr>
        <w:t>and</w:t>
      </w:r>
      <w:r>
        <w:rPr>
          <w:i/>
          <w:noProof/>
        </w:rPr>
        <w:t xml:space="preserve"> sr-ProhibitTimer</w:t>
      </w:r>
      <w:r>
        <w:rPr>
          <w:noProof/>
        </w:rPr>
        <w:t xml:space="preserve"> are per MAC entity.</w:t>
      </w:r>
    </w:p>
    <w:p w14:paraId="0CFD9574" w14:textId="4A316778" w:rsidR="00DF140A" w:rsidRDefault="00DF140A" w:rsidP="00DF140A">
      <w:pPr>
        <w:pStyle w:val="B1"/>
        <w:ind w:left="0" w:firstLine="0"/>
      </w:pPr>
      <w:r w:rsidRPr="00D64E1B">
        <w:rPr>
          <w:b/>
        </w:rPr>
        <w:t>Proposal</w:t>
      </w:r>
      <w:r>
        <w:rPr>
          <w:b/>
        </w:rPr>
        <w:t>7</w:t>
      </w:r>
      <w:r>
        <w:t xml:space="preserve">: as in LTE, </w:t>
      </w:r>
      <w:r w:rsidRPr="00D35E59">
        <w:rPr>
          <w:i/>
          <w:noProof/>
        </w:rPr>
        <w:t>logicalChannelSR</w:t>
      </w:r>
      <w:r>
        <w:rPr>
          <w:i/>
          <w:noProof/>
        </w:rPr>
        <w:t>-</w:t>
      </w:r>
      <w:r w:rsidRPr="00D35E59">
        <w:rPr>
          <w:i/>
          <w:noProof/>
        </w:rPr>
        <w:t>ProhibitTimer</w:t>
      </w:r>
      <w:r>
        <w:rPr>
          <w:noProof/>
        </w:rPr>
        <w:t xml:space="preserve"> is per MAC entity and applies to which LCHs can be configured separately with per LCH parameter </w:t>
      </w:r>
      <w:r w:rsidRPr="00D64E1B">
        <w:rPr>
          <w:i/>
          <w:noProof/>
        </w:rPr>
        <w:t>logicalChannelSR-Prohibit</w:t>
      </w:r>
      <w:r>
        <w:rPr>
          <w:noProof/>
        </w:rPr>
        <w:t>.</w:t>
      </w:r>
    </w:p>
    <w:p w14:paraId="566B81EC" w14:textId="1F0B0E3C" w:rsidR="00F836B4" w:rsidRDefault="00F836B4" w:rsidP="00F836B4">
      <w:pPr>
        <w:pStyle w:val="B1"/>
        <w:ind w:left="0" w:firstLine="0"/>
        <w:rPr>
          <w:noProof/>
        </w:rPr>
      </w:pPr>
      <w:r w:rsidRPr="00831D58">
        <w:rPr>
          <w:b/>
          <w:noProof/>
        </w:rPr>
        <w:t xml:space="preserve">Proposal </w:t>
      </w:r>
      <w:r w:rsidR="00DF140A">
        <w:rPr>
          <w:b/>
          <w:noProof/>
        </w:rPr>
        <w:t>8</w:t>
      </w:r>
      <w:r>
        <w:rPr>
          <w:noProof/>
        </w:rPr>
        <w:t xml:space="preserve">: </w:t>
      </w:r>
      <w:r>
        <w:t>as in LTE</w:t>
      </w:r>
      <w:r w:rsidRPr="00831D58">
        <w:rPr>
          <w:i/>
          <w:noProof/>
        </w:rPr>
        <w:t xml:space="preserve"> </w:t>
      </w:r>
      <w:r w:rsidRPr="002F4F3B">
        <w:rPr>
          <w:i/>
          <w:noProof/>
        </w:rPr>
        <w:t>sr-ProhibitTimer</w:t>
      </w:r>
      <w:r>
        <w:rPr>
          <w:noProof/>
        </w:rPr>
        <w:t xml:space="preserve"> is per MAC entity, and it counts the shortest periodicity of the SR configurations that are usable for the SR procedure.</w:t>
      </w:r>
    </w:p>
    <w:p w14:paraId="3E5961CD" w14:textId="00B1E2A1" w:rsidR="00F97AC8" w:rsidRDefault="00F97AC8" w:rsidP="00F97AC8">
      <w:pPr>
        <w:pStyle w:val="B1"/>
        <w:ind w:left="0" w:firstLine="0"/>
        <w:rPr>
          <w:noProof/>
        </w:rPr>
      </w:pPr>
      <w:r w:rsidRPr="00831D58">
        <w:rPr>
          <w:b/>
          <w:noProof/>
        </w:rPr>
        <w:t>Proposal</w:t>
      </w:r>
      <w:r>
        <w:rPr>
          <w:b/>
          <w:noProof/>
        </w:rPr>
        <w:t xml:space="preserve"> </w:t>
      </w:r>
      <w:r w:rsidR="00DF140A">
        <w:rPr>
          <w:b/>
          <w:noProof/>
        </w:rPr>
        <w:t>9</w:t>
      </w:r>
      <w:r>
        <w:rPr>
          <w:noProof/>
        </w:rPr>
        <w:t xml:space="preserve">: </w:t>
      </w:r>
      <w:r>
        <w:rPr>
          <w:noProof/>
          <w:lang w:eastAsia="en-GB"/>
        </w:rPr>
        <w:t>new SR triggered by higher priority data</w:t>
      </w:r>
      <w:r w:rsidR="001402A2">
        <w:rPr>
          <w:noProof/>
          <w:lang w:eastAsia="en-GB"/>
        </w:rPr>
        <w:t xml:space="preserve"> (with different SR configuration having shorter periodicity)</w:t>
      </w:r>
      <w:r>
        <w:rPr>
          <w:noProof/>
          <w:lang w:eastAsia="en-GB"/>
        </w:rPr>
        <w:t xml:space="preserve"> stops the </w:t>
      </w:r>
      <w:r w:rsidRPr="002F4F3B">
        <w:rPr>
          <w:i/>
          <w:noProof/>
        </w:rPr>
        <w:t>sr-ProhibitTimer</w:t>
      </w:r>
      <w:r>
        <w:rPr>
          <w:noProof/>
        </w:rPr>
        <w:t>.</w:t>
      </w:r>
    </w:p>
    <w:p w14:paraId="33280852" w14:textId="402D1C26" w:rsidR="00F836B4" w:rsidRDefault="00F836B4" w:rsidP="00F97AC8">
      <w:pPr>
        <w:pStyle w:val="B1"/>
        <w:ind w:left="0" w:firstLine="0"/>
        <w:rPr>
          <w:noProof/>
        </w:rPr>
      </w:pPr>
      <w:r w:rsidRPr="00D64E1B">
        <w:rPr>
          <w:b/>
        </w:rPr>
        <w:t>Proposal</w:t>
      </w:r>
      <w:r w:rsidR="00F97AC8">
        <w:rPr>
          <w:b/>
        </w:rPr>
        <w:t xml:space="preserve"> </w:t>
      </w:r>
      <w:r w:rsidR="00DF140A">
        <w:rPr>
          <w:b/>
        </w:rPr>
        <w:t>10</w:t>
      </w:r>
      <w:r>
        <w:t xml:space="preserve">: as in LTE, </w:t>
      </w:r>
      <w:r w:rsidRPr="00D64E1B">
        <w:rPr>
          <w:i/>
          <w:noProof/>
        </w:rPr>
        <w:t>All pending SR(s) shall be cancelled and sr-ProhibitTimer shall be stopped when a MAC PDU is assembled and this PDU includes a BSR which contains buffer status up to (and including) the last event that triggered a BSR, or when the UL grant(s) can accommodate all pending data available for transmission</w:t>
      </w:r>
      <w:r>
        <w:rPr>
          <w:noProof/>
        </w:rPr>
        <w:t>.</w:t>
      </w:r>
    </w:p>
    <w:p w14:paraId="0FDCFAC2" w14:textId="412FC07D" w:rsidR="00CD4C7B" w:rsidRPr="006E13D1" w:rsidRDefault="00CD4C7B" w:rsidP="00CD4C7B">
      <w:pPr>
        <w:pStyle w:val="Heading1"/>
      </w:pPr>
      <w:r w:rsidRPr="006E13D1">
        <w:t>References</w:t>
      </w:r>
    </w:p>
    <w:bookmarkStart w:id="1" w:name="_Ref75086397"/>
    <w:p w14:paraId="35F222F4" w14:textId="080F2870" w:rsidR="00080512" w:rsidRPr="00E01528" w:rsidRDefault="00514FB9" w:rsidP="00514FB9">
      <w:pPr>
        <w:numPr>
          <w:ilvl w:val="0"/>
          <w:numId w:val="4"/>
        </w:numPr>
        <w:overflowPunct w:val="0"/>
        <w:autoSpaceDE w:val="0"/>
        <w:autoSpaceDN w:val="0"/>
        <w:adjustRightInd w:val="0"/>
        <w:textAlignment w:val="baseline"/>
      </w:pPr>
      <w:r>
        <w:fldChar w:fldCharType="begin"/>
      </w:r>
      <w:r>
        <w:instrText xml:space="preserve"> HYPERLINK "http://3gpp.org/ftp/tsg_ran/WG2_RL2/TSGR2_98/Docs/R2-1704030.zip" </w:instrText>
      </w:r>
      <w:r>
        <w:fldChar w:fldCharType="separate"/>
      </w:r>
      <w:r w:rsidRPr="007C614B">
        <w:rPr>
          <w:rStyle w:val="Hyperlink"/>
        </w:rPr>
        <w:t>R2-1704030</w:t>
      </w:r>
      <w:r>
        <w:rPr>
          <w:rStyle w:val="Hyperlink"/>
        </w:rPr>
        <w:fldChar w:fldCharType="end"/>
      </w:r>
      <w:r>
        <w:t xml:space="preserve">, </w:t>
      </w:r>
      <w:r w:rsidRPr="00514FB9">
        <w:rPr>
          <w:i/>
        </w:rPr>
        <w:t>RAN2 #98 NR UP minutes</w:t>
      </w:r>
      <w:bookmarkEnd w:id="1"/>
    </w:p>
    <w:p w14:paraId="33D52DD5" w14:textId="5A800368" w:rsidR="0091185A" w:rsidRPr="00CD4C7B" w:rsidRDefault="00E01528" w:rsidP="00A52B93">
      <w:pPr>
        <w:numPr>
          <w:ilvl w:val="0"/>
          <w:numId w:val="4"/>
        </w:numPr>
        <w:overflowPunct w:val="0"/>
        <w:autoSpaceDE w:val="0"/>
        <w:autoSpaceDN w:val="0"/>
        <w:adjustRightInd w:val="0"/>
        <w:textAlignment w:val="baseline"/>
      </w:pPr>
      <w:hyperlink r:id="rId7" w:history="1">
        <w:r w:rsidRPr="00E01528">
          <w:rPr>
            <w:rStyle w:val="Hyperlink"/>
          </w:rPr>
          <w:t>R2-1707500</w:t>
        </w:r>
      </w:hyperlink>
      <w:r>
        <w:t xml:space="preserve">, </w:t>
      </w:r>
      <w:r w:rsidRPr="006F1027">
        <w:rPr>
          <w:i/>
        </w:rPr>
        <w:t>Report from user plane break-out Session</w:t>
      </w:r>
      <w:r w:rsidRPr="00E01528">
        <w:t>, Vice-Chair (InterDigital)</w:t>
      </w:r>
      <w:bookmarkStart w:id="2" w:name="_GoBack"/>
      <w:bookmarkEnd w:id="2"/>
    </w:p>
    <w:sectPr w:rsidR="0091185A"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B80BC" w14:textId="77777777" w:rsidR="00F212D8" w:rsidRDefault="00F212D8">
      <w:r>
        <w:separator/>
      </w:r>
    </w:p>
  </w:endnote>
  <w:endnote w:type="continuationSeparator" w:id="0">
    <w:p w14:paraId="5184AFBB" w14:textId="77777777" w:rsidR="00F212D8" w:rsidRDefault="00F2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16B6F" w14:textId="77777777" w:rsidR="00F212D8" w:rsidRDefault="00F212D8">
      <w:r>
        <w:separator/>
      </w:r>
    </w:p>
  </w:footnote>
  <w:footnote w:type="continuationSeparator" w:id="0">
    <w:p w14:paraId="74D23520" w14:textId="77777777" w:rsidR="00F212D8" w:rsidRDefault="00F21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5223D"/>
    <w:rsid w:val="00063EC8"/>
    <w:rsid w:val="00064EE6"/>
    <w:rsid w:val="000777E0"/>
    <w:rsid w:val="00080512"/>
    <w:rsid w:val="00090468"/>
    <w:rsid w:val="000B7BCF"/>
    <w:rsid w:val="000C522B"/>
    <w:rsid w:val="000D58AB"/>
    <w:rsid w:val="00112F1A"/>
    <w:rsid w:val="001402A2"/>
    <w:rsid w:val="00145075"/>
    <w:rsid w:val="001741A0"/>
    <w:rsid w:val="00194CD0"/>
    <w:rsid w:val="001B49C9"/>
    <w:rsid w:val="001B58B8"/>
    <w:rsid w:val="001B5D36"/>
    <w:rsid w:val="001C4073"/>
    <w:rsid w:val="001F168B"/>
    <w:rsid w:val="001F7831"/>
    <w:rsid w:val="0020008F"/>
    <w:rsid w:val="00204045"/>
    <w:rsid w:val="0020718C"/>
    <w:rsid w:val="0022606D"/>
    <w:rsid w:val="0024446C"/>
    <w:rsid w:val="00262198"/>
    <w:rsid w:val="00271A0B"/>
    <w:rsid w:val="0027308A"/>
    <w:rsid w:val="00274513"/>
    <w:rsid w:val="002747EC"/>
    <w:rsid w:val="002855BF"/>
    <w:rsid w:val="00292805"/>
    <w:rsid w:val="002F0D22"/>
    <w:rsid w:val="003172DC"/>
    <w:rsid w:val="00326069"/>
    <w:rsid w:val="003272E1"/>
    <w:rsid w:val="0035462D"/>
    <w:rsid w:val="00384F78"/>
    <w:rsid w:val="003B17AF"/>
    <w:rsid w:val="003B40AD"/>
    <w:rsid w:val="003C4E1D"/>
    <w:rsid w:val="003C4E37"/>
    <w:rsid w:val="003E16BE"/>
    <w:rsid w:val="004006E8"/>
    <w:rsid w:val="00401855"/>
    <w:rsid w:val="00405F53"/>
    <w:rsid w:val="00477455"/>
    <w:rsid w:val="004774E8"/>
    <w:rsid w:val="0049178F"/>
    <w:rsid w:val="004B4637"/>
    <w:rsid w:val="004D3578"/>
    <w:rsid w:val="004D380D"/>
    <w:rsid w:val="004E213A"/>
    <w:rsid w:val="00503171"/>
    <w:rsid w:val="00506C28"/>
    <w:rsid w:val="00514FB9"/>
    <w:rsid w:val="00534DA0"/>
    <w:rsid w:val="00543E6C"/>
    <w:rsid w:val="00562235"/>
    <w:rsid w:val="00565087"/>
    <w:rsid w:val="0056573F"/>
    <w:rsid w:val="005E42DC"/>
    <w:rsid w:val="00611566"/>
    <w:rsid w:val="00646D99"/>
    <w:rsid w:val="00656910"/>
    <w:rsid w:val="006C66D8"/>
    <w:rsid w:val="006D1E24"/>
    <w:rsid w:val="006E1417"/>
    <w:rsid w:val="006F1027"/>
    <w:rsid w:val="006F6A2C"/>
    <w:rsid w:val="00710201"/>
    <w:rsid w:val="007166F1"/>
    <w:rsid w:val="00734A5B"/>
    <w:rsid w:val="00744E76"/>
    <w:rsid w:val="00750FFA"/>
    <w:rsid w:val="00757D40"/>
    <w:rsid w:val="007748C5"/>
    <w:rsid w:val="0078137F"/>
    <w:rsid w:val="00781F0F"/>
    <w:rsid w:val="00787123"/>
    <w:rsid w:val="0078712A"/>
    <w:rsid w:val="0078727C"/>
    <w:rsid w:val="0079049D"/>
    <w:rsid w:val="007A024E"/>
    <w:rsid w:val="007A4D26"/>
    <w:rsid w:val="007B18D8"/>
    <w:rsid w:val="007C095F"/>
    <w:rsid w:val="008028A4"/>
    <w:rsid w:val="00807A9B"/>
    <w:rsid w:val="00813245"/>
    <w:rsid w:val="00813A59"/>
    <w:rsid w:val="00831D58"/>
    <w:rsid w:val="00861810"/>
    <w:rsid w:val="008768CA"/>
    <w:rsid w:val="00877EF9"/>
    <w:rsid w:val="00880559"/>
    <w:rsid w:val="008B5306"/>
    <w:rsid w:val="008C658B"/>
    <w:rsid w:val="0090271F"/>
    <w:rsid w:val="00902DB9"/>
    <w:rsid w:val="0090466A"/>
    <w:rsid w:val="0091185A"/>
    <w:rsid w:val="00927915"/>
    <w:rsid w:val="00936071"/>
    <w:rsid w:val="00940212"/>
    <w:rsid w:val="00942EC2"/>
    <w:rsid w:val="00961B32"/>
    <w:rsid w:val="00970DB3"/>
    <w:rsid w:val="009728AB"/>
    <w:rsid w:val="00974BB0"/>
    <w:rsid w:val="0099351F"/>
    <w:rsid w:val="009A0AF3"/>
    <w:rsid w:val="009B07CD"/>
    <w:rsid w:val="009C19E9"/>
    <w:rsid w:val="00A10F02"/>
    <w:rsid w:val="00A13DBF"/>
    <w:rsid w:val="00A1647B"/>
    <w:rsid w:val="00A204CA"/>
    <w:rsid w:val="00A4683A"/>
    <w:rsid w:val="00A53724"/>
    <w:rsid w:val="00A82346"/>
    <w:rsid w:val="00A87BF0"/>
    <w:rsid w:val="00A9671C"/>
    <w:rsid w:val="00AA1553"/>
    <w:rsid w:val="00AB2CF7"/>
    <w:rsid w:val="00AC55A0"/>
    <w:rsid w:val="00AF7F6E"/>
    <w:rsid w:val="00B15449"/>
    <w:rsid w:val="00B27330"/>
    <w:rsid w:val="00B27B9D"/>
    <w:rsid w:val="00B46375"/>
    <w:rsid w:val="00B47FD1"/>
    <w:rsid w:val="00B516BB"/>
    <w:rsid w:val="00BB7E09"/>
    <w:rsid w:val="00BC7B7D"/>
    <w:rsid w:val="00C12B51"/>
    <w:rsid w:val="00C24650"/>
    <w:rsid w:val="00C33079"/>
    <w:rsid w:val="00C83A13"/>
    <w:rsid w:val="00C9068C"/>
    <w:rsid w:val="00C92967"/>
    <w:rsid w:val="00CA3D0C"/>
    <w:rsid w:val="00CA654B"/>
    <w:rsid w:val="00CD4C7B"/>
    <w:rsid w:val="00CF6BF6"/>
    <w:rsid w:val="00D64E1B"/>
    <w:rsid w:val="00D738D6"/>
    <w:rsid w:val="00D75C36"/>
    <w:rsid w:val="00D80795"/>
    <w:rsid w:val="00D854BE"/>
    <w:rsid w:val="00D87E00"/>
    <w:rsid w:val="00D9134D"/>
    <w:rsid w:val="00D96D11"/>
    <w:rsid w:val="00DA47C8"/>
    <w:rsid w:val="00DA7A03"/>
    <w:rsid w:val="00DB1818"/>
    <w:rsid w:val="00DC0C8F"/>
    <w:rsid w:val="00DC309B"/>
    <w:rsid w:val="00DC4DA2"/>
    <w:rsid w:val="00DF140A"/>
    <w:rsid w:val="00E01528"/>
    <w:rsid w:val="00E62835"/>
    <w:rsid w:val="00E77645"/>
    <w:rsid w:val="00E83697"/>
    <w:rsid w:val="00EC2CA9"/>
    <w:rsid w:val="00EC4A25"/>
    <w:rsid w:val="00EE3759"/>
    <w:rsid w:val="00F025A2"/>
    <w:rsid w:val="00F07388"/>
    <w:rsid w:val="00F2026E"/>
    <w:rsid w:val="00F212D8"/>
    <w:rsid w:val="00F2210A"/>
    <w:rsid w:val="00F37743"/>
    <w:rsid w:val="00F54A3D"/>
    <w:rsid w:val="00F54CB0"/>
    <w:rsid w:val="00F653B8"/>
    <w:rsid w:val="00F71A37"/>
    <w:rsid w:val="00F71B89"/>
    <w:rsid w:val="00F7353C"/>
    <w:rsid w:val="00F766B6"/>
    <w:rsid w:val="00F76F8F"/>
    <w:rsid w:val="00F836B4"/>
    <w:rsid w:val="00F86954"/>
    <w:rsid w:val="00F97AC8"/>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Revision">
    <w:name w:val="Revision"/>
    <w:hidden/>
    <w:uiPriority w:val="99"/>
    <w:semiHidden/>
    <w:rsid w:val="00514FB9"/>
    <w:rPr>
      <w:lang w:eastAsia="en-US"/>
    </w:rPr>
  </w:style>
  <w:style w:type="paragraph" w:styleId="BalloonText">
    <w:name w:val="Balloon Text"/>
    <w:basedOn w:val="Normal"/>
    <w:link w:val="BalloonTextChar"/>
    <w:rsid w:val="00514FB9"/>
    <w:pPr>
      <w:spacing w:after="0"/>
    </w:pPr>
    <w:rPr>
      <w:rFonts w:ascii="Segoe UI" w:hAnsi="Segoe UI" w:cs="Segoe UI"/>
      <w:sz w:val="18"/>
      <w:szCs w:val="18"/>
    </w:rPr>
  </w:style>
  <w:style w:type="character" w:customStyle="1" w:styleId="BalloonTextChar">
    <w:name w:val="Balloon Text Char"/>
    <w:basedOn w:val="DefaultParagraphFont"/>
    <w:link w:val="BalloonText"/>
    <w:rsid w:val="00514FB9"/>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E0152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280866">
      <w:bodyDiv w:val="1"/>
      <w:marLeft w:val="0"/>
      <w:marRight w:val="0"/>
      <w:marTop w:val="0"/>
      <w:marBottom w:val="0"/>
      <w:divBdr>
        <w:top w:val="none" w:sz="0" w:space="0" w:color="auto"/>
        <w:left w:val="none" w:sz="0" w:space="0" w:color="auto"/>
        <w:bottom w:val="none" w:sz="0" w:space="0" w:color="auto"/>
        <w:right w:val="none" w:sz="0" w:space="0" w:color="auto"/>
      </w:divBdr>
    </w:div>
    <w:div w:id="844708626">
      <w:bodyDiv w:val="1"/>
      <w:marLeft w:val="0"/>
      <w:marRight w:val="0"/>
      <w:marTop w:val="0"/>
      <w:marBottom w:val="0"/>
      <w:divBdr>
        <w:top w:val="none" w:sz="0" w:space="0" w:color="auto"/>
        <w:left w:val="none" w:sz="0" w:space="0" w:color="auto"/>
        <w:bottom w:val="none" w:sz="0" w:space="0" w:color="auto"/>
        <w:right w:val="none" w:sz="0" w:space="0" w:color="auto"/>
      </w:divBdr>
    </w:div>
    <w:div w:id="117677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3gpp.org/ftp/tsg_ran/WG2_RL2/TSGR2_AHs/2017_06_NR/Docs/R2-17075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3</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Chunli</cp:lastModifiedBy>
  <cp:revision>4</cp:revision>
  <dcterms:created xsi:type="dcterms:W3CDTF">2017-08-11T00:46:00Z</dcterms:created>
  <dcterms:modified xsi:type="dcterms:W3CDTF">2017-08-11T00:47:00Z</dcterms:modified>
</cp:coreProperties>
</file>